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3B" w:rsidRDefault="00013099" w:rsidP="00AE5E3B">
      <w:pPr>
        <w:pStyle w:val="Style1"/>
        <w:adjustRightInd/>
        <w:spacing w:line="360" w:lineRule="auto"/>
        <w:rPr>
          <w:b/>
          <w:bCs/>
          <w:sz w:val="32"/>
          <w:szCs w:val="32"/>
        </w:rPr>
      </w:pPr>
      <w:r>
        <w:rPr>
          <w:noProof/>
          <w:sz w:val="32"/>
          <w:szCs w:val="32"/>
        </w:rPr>
        <w:drawing>
          <wp:anchor distT="0" distB="0" distL="114300" distR="114300" simplePos="0" relativeHeight="251657728" behindDoc="1" locked="0" layoutInCell="1" allowOverlap="1">
            <wp:simplePos x="0" y="0"/>
            <wp:positionH relativeFrom="column">
              <wp:posOffset>4366260</wp:posOffset>
            </wp:positionH>
            <wp:positionV relativeFrom="paragraph">
              <wp:posOffset>66040</wp:posOffset>
            </wp:positionV>
            <wp:extent cx="2281555" cy="1654175"/>
            <wp:effectExtent l="19050" t="0" r="4445" b="0"/>
            <wp:wrapTight wrapText="bothSides">
              <wp:wrapPolygon edited="0">
                <wp:start x="-180" y="0"/>
                <wp:lineTo x="-180" y="21393"/>
                <wp:lineTo x="21642" y="21393"/>
                <wp:lineTo x="21642" y="0"/>
                <wp:lineTo x="-180" y="0"/>
              </wp:wrapPolygon>
            </wp:wrapTight>
            <wp:docPr id="3" name="Image 3" descr="Image 3 c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3 c jpeg"/>
                    <pic:cNvPicPr>
                      <a:picLocks noChangeAspect="1" noChangeArrowheads="1"/>
                    </pic:cNvPicPr>
                  </pic:nvPicPr>
                  <pic:blipFill>
                    <a:blip r:embed="rId7" cstate="print"/>
                    <a:srcRect/>
                    <a:stretch>
                      <a:fillRect/>
                    </a:stretch>
                  </pic:blipFill>
                  <pic:spPr bwMode="auto">
                    <a:xfrm>
                      <a:off x="0" y="0"/>
                      <a:ext cx="2281555" cy="1654175"/>
                    </a:xfrm>
                    <a:prstGeom prst="rect">
                      <a:avLst/>
                    </a:prstGeom>
                    <a:noFill/>
                    <a:ln w="9525">
                      <a:noFill/>
                      <a:miter lim="800000"/>
                      <a:headEnd/>
                      <a:tailEnd/>
                    </a:ln>
                  </pic:spPr>
                </pic:pic>
              </a:graphicData>
            </a:graphic>
          </wp:anchor>
        </w:drawing>
      </w:r>
      <w:r w:rsidR="0046757C" w:rsidRPr="006D690A">
        <w:rPr>
          <w:b/>
          <w:bCs/>
          <w:sz w:val="32"/>
          <w:szCs w:val="32"/>
        </w:rPr>
        <w:t>Nouvelles d</w:t>
      </w:r>
      <w:r w:rsidR="00BD3995" w:rsidRPr="006D690A">
        <w:rPr>
          <w:b/>
          <w:bCs/>
          <w:sz w:val="32"/>
          <w:szCs w:val="32"/>
        </w:rPr>
        <w:t>'Europe.</w:t>
      </w:r>
      <w:r w:rsidR="00C35C2F">
        <w:rPr>
          <w:b/>
          <w:bCs/>
          <w:sz w:val="32"/>
          <w:szCs w:val="32"/>
        </w:rPr>
        <w:t xml:space="preserve"> Décembre</w:t>
      </w:r>
      <w:r w:rsidR="001B063D" w:rsidRPr="006D690A">
        <w:rPr>
          <w:b/>
          <w:bCs/>
          <w:sz w:val="32"/>
          <w:szCs w:val="32"/>
        </w:rPr>
        <w:t xml:space="preserve"> </w:t>
      </w:r>
      <w:r w:rsidR="001B063D">
        <w:rPr>
          <w:b/>
          <w:bCs/>
          <w:sz w:val="32"/>
          <w:szCs w:val="32"/>
        </w:rPr>
        <w:t>2012</w:t>
      </w:r>
      <w:r w:rsidR="001B063D" w:rsidRPr="006D690A">
        <w:rPr>
          <w:b/>
          <w:bCs/>
          <w:sz w:val="32"/>
          <w:szCs w:val="32"/>
        </w:rPr>
        <w:t>. N° 1</w:t>
      </w:r>
      <w:r w:rsidR="001B063D">
        <w:rPr>
          <w:b/>
          <w:bCs/>
          <w:sz w:val="32"/>
          <w:szCs w:val="32"/>
        </w:rPr>
        <w:t>2</w:t>
      </w:r>
      <w:r w:rsidR="003F664C">
        <w:rPr>
          <w:b/>
          <w:bCs/>
          <w:sz w:val="32"/>
          <w:szCs w:val="32"/>
        </w:rPr>
        <w:t>50</w:t>
      </w:r>
    </w:p>
    <w:p w:rsidR="00776D72" w:rsidRPr="00437BD6" w:rsidRDefault="00652740" w:rsidP="00437BD6">
      <w:pPr>
        <w:pStyle w:val="Style1"/>
        <w:adjustRightInd/>
        <w:spacing w:line="360" w:lineRule="auto"/>
        <w:rPr>
          <w:sz w:val="32"/>
          <w:szCs w:val="32"/>
        </w:rPr>
      </w:pPr>
      <w:r>
        <w:rPr>
          <w:rStyle w:val="CharacterStyle1"/>
          <w:rFonts w:ascii="Times New Roman" w:hAnsi="Times New Roman" w:cs="Times New Roman"/>
          <w:b/>
          <w:bCs/>
          <w:sz w:val="32"/>
          <w:szCs w:val="32"/>
        </w:rPr>
        <w:t xml:space="preserve">Israël-Palestine: l’Europe laisse faire </w:t>
      </w:r>
    </w:p>
    <w:p w:rsidR="0006720A" w:rsidRDefault="0046757C">
      <w:pPr>
        <w:jc w:val="both"/>
        <w:rPr>
          <w:sz w:val="20"/>
        </w:rPr>
      </w:pPr>
      <w:r w:rsidRPr="00151C0A">
        <w:rPr>
          <w:b/>
          <w:bCs/>
          <w:sz w:val="28"/>
        </w:rPr>
        <w:t xml:space="preserve">François Vié. </w:t>
      </w:r>
      <w:r w:rsidRPr="00151C0A">
        <w:rPr>
          <w:sz w:val="20"/>
        </w:rPr>
        <w:t xml:space="preserve">Chronique hebdomadaire d’actualité sur l’Union européenne. Diffusion sur Radio PFM (99.9) </w:t>
      </w:r>
    </w:p>
    <w:p w:rsidR="00AC4654" w:rsidRDefault="0046757C">
      <w:pPr>
        <w:jc w:val="both"/>
        <w:rPr>
          <w:rStyle w:val="CharacterStyle1"/>
          <w:rFonts w:ascii="Times New Roman" w:hAnsi="Times New Roman" w:cs="Times New Roman"/>
          <w:sz w:val="20"/>
        </w:rPr>
      </w:pPr>
      <w:r w:rsidRPr="00151C0A">
        <w:rPr>
          <w:rStyle w:val="CharacterStyle1"/>
          <w:rFonts w:ascii="Times New Roman" w:hAnsi="Times New Roman" w:cs="Times New Roman"/>
          <w:spacing w:val="6"/>
          <w:sz w:val="20"/>
        </w:rPr>
        <w:t>Les chroniques peuve</w:t>
      </w:r>
      <w:r w:rsidR="00C840D5">
        <w:rPr>
          <w:rStyle w:val="CharacterStyle1"/>
          <w:rFonts w:ascii="Times New Roman" w:hAnsi="Times New Roman" w:cs="Times New Roman"/>
          <w:spacing w:val="6"/>
          <w:sz w:val="20"/>
        </w:rPr>
        <w:t>nt être écoutées et lues</w:t>
      </w:r>
      <w:r w:rsidRPr="00151C0A">
        <w:rPr>
          <w:rStyle w:val="CharacterStyle1"/>
          <w:rFonts w:ascii="Times New Roman" w:hAnsi="Times New Roman" w:cs="Times New Roman"/>
          <w:spacing w:val="6"/>
          <w:sz w:val="20"/>
        </w:rPr>
        <w:t xml:space="preserve"> </w:t>
      </w:r>
      <w:r w:rsidRPr="00151C0A">
        <w:rPr>
          <w:rStyle w:val="CharacterStyle1"/>
          <w:rFonts w:ascii="Times New Roman" w:hAnsi="Times New Roman" w:cs="Times New Roman"/>
          <w:sz w:val="20"/>
        </w:rPr>
        <w:t xml:space="preserve">sur </w:t>
      </w:r>
      <w:r w:rsidRPr="00C840D5">
        <w:rPr>
          <w:rStyle w:val="CharacterStyle1"/>
          <w:rFonts w:ascii="Times New Roman" w:hAnsi="Times New Roman" w:cs="Times New Roman"/>
          <w:b/>
          <w:sz w:val="20"/>
        </w:rPr>
        <w:t>nouvellesdeurope.com</w:t>
      </w:r>
      <w:r w:rsidRPr="00151C0A">
        <w:rPr>
          <w:rStyle w:val="CharacterStyle1"/>
          <w:rFonts w:ascii="Times New Roman" w:hAnsi="Times New Roman" w:cs="Times New Roman"/>
          <w:sz w:val="20"/>
        </w:rPr>
        <w:t xml:space="preserve"> </w:t>
      </w:r>
    </w:p>
    <w:p w:rsidR="007065E8" w:rsidRDefault="007065E8">
      <w:pPr>
        <w:jc w:val="both"/>
        <w:rPr>
          <w:rStyle w:val="CharacterStyle1"/>
          <w:rFonts w:ascii="Times New Roman" w:hAnsi="Times New Roman" w:cs="Times New Roman"/>
          <w:sz w:val="20"/>
        </w:rPr>
      </w:pPr>
    </w:p>
    <w:p w:rsidR="00DC1356" w:rsidRDefault="003F664C" w:rsidP="00586381">
      <w:pPr>
        <w:jc w:val="both"/>
        <w:rPr>
          <w:rStyle w:val="CharacterStyle1"/>
          <w:rFonts w:ascii="Times New Roman" w:hAnsi="Times New Roman" w:cs="Times New Roman"/>
        </w:rPr>
      </w:pPr>
      <w:r>
        <w:rPr>
          <w:rStyle w:val="CharacterStyle1"/>
          <w:rFonts w:ascii="Times New Roman" w:hAnsi="Times New Roman" w:cs="Times New Roman"/>
        </w:rPr>
        <w:t>10</w:t>
      </w:r>
      <w:r w:rsidR="008175C4">
        <w:rPr>
          <w:rStyle w:val="CharacterStyle1"/>
          <w:rFonts w:ascii="Times New Roman" w:hAnsi="Times New Roman" w:cs="Times New Roman"/>
        </w:rPr>
        <w:t xml:space="preserve"> décembre</w:t>
      </w:r>
      <w:r w:rsidR="0006720A">
        <w:rPr>
          <w:rStyle w:val="CharacterStyle1"/>
          <w:rFonts w:ascii="Times New Roman" w:hAnsi="Times New Roman" w:cs="Times New Roman"/>
        </w:rPr>
        <w:t xml:space="preserve"> 2012. </w:t>
      </w:r>
      <w:r w:rsidR="007B4599">
        <w:rPr>
          <w:rStyle w:val="CharacterStyle1"/>
          <w:rFonts w:ascii="Times New Roman" w:hAnsi="Times New Roman" w:cs="Times New Roman"/>
        </w:rPr>
        <w:t xml:space="preserve"> </w:t>
      </w:r>
    </w:p>
    <w:p w:rsidR="0048516F" w:rsidRDefault="00FB227D" w:rsidP="00D500EC">
      <w:pPr>
        <w:jc w:val="both"/>
        <w:rPr>
          <w:rStyle w:val="CharacterStyle1"/>
          <w:rFonts w:ascii="Times New Roman" w:hAnsi="Times New Roman" w:cs="Times New Roman"/>
        </w:rPr>
      </w:pPr>
      <w:r>
        <w:rPr>
          <w:rStyle w:val="CharacterStyle1"/>
          <w:rFonts w:ascii="Times New Roman" w:hAnsi="Times New Roman" w:cs="Times New Roman"/>
        </w:rPr>
        <w:t>Le conflit israélo-palestinien s’éternise. Et l’Union européenne es</w:t>
      </w:r>
      <w:r w:rsidR="00DD2DE2">
        <w:rPr>
          <w:rStyle w:val="CharacterStyle1"/>
          <w:rFonts w:ascii="Times New Roman" w:hAnsi="Times New Roman" w:cs="Times New Roman"/>
        </w:rPr>
        <w:t>t impuissante</w:t>
      </w:r>
      <w:r>
        <w:rPr>
          <w:rStyle w:val="CharacterStyle1"/>
          <w:rFonts w:ascii="Times New Roman" w:hAnsi="Times New Roman" w:cs="Times New Roman"/>
        </w:rPr>
        <w:t>. Pire l’Union européenne, par ses politiques,  contribue à entretenir le statut-quo.</w:t>
      </w:r>
    </w:p>
    <w:p w:rsidR="00FB227D" w:rsidRDefault="00FB227D" w:rsidP="00D500EC">
      <w:pPr>
        <w:jc w:val="both"/>
        <w:rPr>
          <w:rStyle w:val="CharacterStyle1"/>
          <w:rFonts w:ascii="Times New Roman" w:hAnsi="Times New Roman" w:cs="Times New Roman"/>
        </w:rPr>
      </w:pPr>
    </w:p>
    <w:p w:rsidR="00DD2DE2" w:rsidRDefault="00FB227D" w:rsidP="00D500EC">
      <w:pPr>
        <w:jc w:val="both"/>
        <w:rPr>
          <w:rStyle w:val="CharacterStyle1"/>
          <w:rFonts w:ascii="Times New Roman" w:hAnsi="Times New Roman" w:cs="Times New Roman"/>
        </w:rPr>
      </w:pPr>
      <w:r>
        <w:rPr>
          <w:rStyle w:val="CharacterStyle1"/>
          <w:rFonts w:ascii="Times New Roman" w:hAnsi="Times New Roman" w:cs="Times New Roman"/>
        </w:rPr>
        <w:t xml:space="preserve">Le constat fait par l’Union est qu’Israël, par la poursuite de sa politique de colonisation, rend de plus en plus impossible les deux conditions indispensables à la constitution d’un Etat palestinien : </w:t>
      </w:r>
      <w:r w:rsidR="00DD2DE2">
        <w:rPr>
          <w:rStyle w:val="CharacterStyle1"/>
          <w:rFonts w:ascii="Times New Roman" w:hAnsi="Times New Roman" w:cs="Times New Roman"/>
        </w:rPr>
        <w:t>d’une part que le territoire palestinien ne soit pas morcelé</w:t>
      </w:r>
      <w:r>
        <w:rPr>
          <w:rStyle w:val="CharacterStyle1"/>
          <w:rFonts w:ascii="Times New Roman" w:hAnsi="Times New Roman" w:cs="Times New Roman"/>
        </w:rPr>
        <w:t xml:space="preserve"> par les implantations de colons, et </w:t>
      </w:r>
      <w:r w:rsidR="00DD2DE2">
        <w:rPr>
          <w:rStyle w:val="CharacterStyle1"/>
          <w:rFonts w:ascii="Times New Roman" w:hAnsi="Times New Roman" w:cs="Times New Roman"/>
        </w:rPr>
        <w:t xml:space="preserve">d’autre part que </w:t>
      </w:r>
      <w:r>
        <w:rPr>
          <w:rStyle w:val="CharacterStyle1"/>
          <w:rFonts w:ascii="Times New Roman" w:hAnsi="Times New Roman" w:cs="Times New Roman"/>
        </w:rPr>
        <w:t xml:space="preserve">Jérusalem </w:t>
      </w:r>
      <w:r w:rsidR="00DD2DE2">
        <w:rPr>
          <w:rStyle w:val="CharacterStyle1"/>
          <w:rFonts w:ascii="Times New Roman" w:hAnsi="Times New Roman" w:cs="Times New Roman"/>
        </w:rPr>
        <w:t xml:space="preserve">puisse être la </w:t>
      </w:r>
      <w:r>
        <w:rPr>
          <w:rStyle w:val="CharacterStyle1"/>
          <w:rFonts w:ascii="Times New Roman" w:hAnsi="Times New Roman" w:cs="Times New Roman"/>
        </w:rPr>
        <w:t>capitale de deux Etats</w:t>
      </w:r>
      <w:r w:rsidR="00DD2DE2">
        <w:rPr>
          <w:rStyle w:val="CharacterStyle1"/>
          <w:rFonts w:ascii="Times New Roman" w:hAnsi="Times New Roman" w:cs="Times New Roman"/>
        </w:rPr>
        <w:t>.</w:t>
      </w:r>
    </w:p>
    <w:p w:rsidR="005F75A5" w:rsidRDefault="005F75A5" w:rsidP="00D500EC">
      <w:pPr>
        <w:jc w:val="both"/>
        <w:rPr>
          <w:rStyle w:val="CharacterStyle1"/>
          <w:rFonts w:ascii="Times New Roman" w:hAnsi="Times New Roman" w:cs="Times New Roman"/>
        </w:rPr>
      </w:pPr>
      <w:r>
        <w:rPr>
          <w:rStyle w:val="CharacterStyle1"/>
          <w:rFonts w:ascii="Times New Roman" w:hAnsi="Times New Roman" w:cs="Times New Roman"/>
        </w:rPr>
        <w:t>Le rapport annuel 2012, des consuls généraux</w:t>
      </w:r>
      <w:r w:rsidR="00FB227D">
        <w:rPr>
          <w:rStyle w:val="CharacterStyle1"/>
          <w:rFonts w:ascii="Times New Roman" w:hAnsi="Times New Roman" w:cs="Times New Roman"/>
        </w:rPr>
        <w:t xml:space="preserve"> européens </w:t>
      </w:r>
      <w:r>
        <w:rPr>
          <w:rStyle w:val="CharacterStyle1"/>
          <w:rFonts w:ascii="Times New Roman" w:hAnsi="Times New Roman" w:cs="Times New Roman"/>
        </w:rPr>
        <w:t>en poste à Jérusalem</w:t>
      </w:r>
      <w:r w:rsidR="00621432">
        <w:rPr>
          <w:rStyle w:val="CharacterStyle1"/>
          <w:rFonts w:ascii="Times New Roman" w:hAnsi="Times New Roman" w:cs="Times New Roman"/>
        </w:rPr>
        <w:t>,</w:t>
      </w:r>
      <w:r>
        <w:rPr>
          <w:rStyle w:val="CharacterStyle1"/>
          <w:rFonts w:ascii="Times New Roman" w:hAnsi="Times New Roman" w:cs="Times New Roman"/>
        </w:rPr>
        <w:t xml:space="preserve"> fait le point. Il décrit la recrudescence des constructions en Cisjordanie et à Jérusalem-Est et les violences commises par les colons. La population israélienne à Jérusalem-</w:t>
      </w:r>
      <w:r w:rsidR="00621432">
        <w:rPr>
          <w:rStyle w:val="CharacterStyle1"/>
          <w:rFonts w:ascii="Times New Roman" w:hAnsi="Times New Roman" w:cs="Times New Roman"/>
        </w:rPr>
        <w:t>E</w:t>
      </w:r>
      <w:r>
        <w:rPr>
          <w:rStyle w:val="CharacterStyle1"/>
          <w:rFonts w:ascii="Times New Roman" w:hAnsi="Times New Roman" w:cs="Times New Roman"/>
        </w:rPr>
        <w:t xml:space="preserve">st est </w:t>
      </w:r>
      <w:r w:rsidR="00DD2DE2">
        <w:rPr>
          <w:rStyle w:val="CharacterStyle1"/>
          <w:rFonts w:ascii="Times New Roman" w:hAnsi="Times New Roman" w:cs="Times New Roman"/>
        </w:rPr>
        <w:t xml:space="preserve">maintenant </w:t>
      </w:r>
      <w:r>
        <w:rPr>
          <w:rStyle w:val="CharacterStyle1"/>
          <w:rFonts w:ascii="Times New Roman" w:hAnsi="Times New Roman" w:cs="Times New Roman"/>
        </w:rPr>
        <w:t>double de la population palestinienne. Dans les territoires co</w:t>
      </w:r>
      <w:r w:rsidR="003729B6">
        <w:rPr>
          <w:rStyle w:val="CharacterStyle1"/>
          <w:rFonts w:ascii="Times New Roman" w:hAnsi="Times New Roman" w:cs="Times New Roman"/>
        </w:rPr>
        <w:t>ntrôlés par Israël en Cisj</w:t>
      </w:r>
      <w:r>
        <w:rPr>
          <w:rStyle w:val="CharacterStyle1"/>
          <w:rFonts w:ascii="Times New Roman" w:hAnsi="Times New Roman" w:cs="Times New Roman"/>
        </w:rPr>
        <w:t>ordanie, la population de colons est passée de 1</w:t>
      </w:r>
      <w:r w:rsidR="00621432">
        <w:rPr>
          <w:rStyle w:val="CharacterStyle1"/>
          <w:rFonts w:ascii="Times New Roman" w:hAnsi="Times New Roman" w:cs="Times New Roman"/>
        </w:rPr>
        <w:t xml:space="preserve"> </w:t>
      </w:r>
      <w:r>
        <w:rPr>
          <w:rStyle w:val="CharacterStyle1"/>
          <w:rFonts w:ascii="Times New Roman" w:hAnsi="Times New Roman" w:cs="Times New Roman"/>
        </w:rPr>
        <w:t>200 en 1972, à 110 000 en 1993 et 310 000 aujourd’hui.</w:t>
      </w:r>
      <w:r w:rsidR="00DD2DE2">
        <w:rPr>
          <w:rStyle w:val="CharacterStyle1"/>
          <w:rFonts w:ascii="Times New Roman" w:hAnsi="Times New Roman" w:cs="Times New Roman"/>
        </w:rPr>
        <w:t xml:space="preserve"> Ce rapport</w:t>
      </w:r>
      <w:r>
        <w:rPr>
          <w:rStyle w:val="CharacterStyle1"/>
          <w:rFonts w:ascii="Times New Roman" w:hAnsi="Times New Roman" w:cs="Times New Roman"/>
        </w:rPr>
        <w:t xml:space="preserve"> formule des recommandations visant à </w:t>
      </w:r>
      <w:r w:rsidR="00A21262">
        <w:rPr>
          <w:rStyle w:val="CharacterStyle1"/>
          <w:rFonts w:ascii="Times New Roman" w:hAnsi="Times New Roman" w:cs="Times New Roman"/>
        </w:rPr>
        <w:t xml:space="preserve">mettre fin aux investissements européens dans les colonies juives, à </w:t>
      </w:r>
      <w:r>
        <w:rPr>
          <w:rStyle w:val="CharacterStyle1"/>
          <w:rFonts w:ascii="Times New Roman" w:hAnsi="Times New Roman" w:cs="Times New Roman"/>
        </w:rPr>
        <w:t xml:space="preserve">soutenir la présence des </w:t>
      </w:r>
      <w:r w:rsidR="00621432">
        <w:rPr>
          <w:rStyle w:val="CharacterStyle1"/>
          <w:rFonts w:ascii="Times New Roman" w:hAnsi="Times New Roman" w:cs="Times New Roman"/>
        </w:rPr>
        <w:t>P</w:t>
      </w:r>
      <w:r>
        <w:rPr>
          <w:rStyle w:val="CharacterStyle1"/>
          <w:rFonts w:ascii="Times New Roman" w:hAnsi="Times New Roman" w:cs="Times New Roman"/>
        </w:rPr>
        <w:t xml:space="preserve">alestiniens en Cisjordanie et </w:t>
      </w:r>
      <w:r w:rsidR="00A21262">
        <w:rPr>
          <w:rStyle w:val="CharacterStyle1"/>
          <w:rFonts w:ascii="Times New Roman" w:hAnsi="Times New Roman" w:cs="Times New Roman"/>
        </w:rPr>
        <w:t xml:space="preserve">à </w:t>
      </w:r>
      <w:r>
        <w:rPr>
          <w:rStyle w:val="CharacterStyle1"/>
          <w:rFonts w:ascii="Times New Roman" w:hAnsi="Times New Roman" w:cs="Times New Roman"/>
        </w:rPr>
        <w:t>lut</w:t>
      </w:r>
      <w:r w:rsidR="000960B3">
        <w:rPr>
          <w:rStyle w:val="CharacterStyle1"/>
          <w:rFonts w:ascii="Times New Roman" w:hAnsi="Times New Roman" w:cs="Times New Roman"/>
        </w:rPr>
        <w:t>t</w:t>
      </w:r>
      <w:r>
        <w:rPr>
          <w:rStyle w:val="CharacterStyle1"/>
          <w:rFonts w:ascii="Times New Roman" w:hAnsi="Times New Roman" w:cs="Times New Roman"/>
        </w:rPr>
        <w:t>er contre la dégradation de leur situation.</w:t>
      </w:r>
    </w:p>
    <w:p w:rsidR="00DD2DE2" w:rsidRDefault="00A21262" w:rsidP="00D500EC">
      <w:pPr>
        <w:jc w:val="both"/>
        <w:rPr>
          <w:rStyle w:val="CharacterStyle1"/>
          <w:rFonts w:ascii="Times New Roman" w:hAnsi="Times New Roman" w:cs="Times New Roman"/>
        </w:rPr>
      </w:pPr>
      <w:r>
        <w:rPr>
          <w:rStyle w:val="CharacterStyle1"/>
          <w:rFonts w:ascii="Times New Roman" w:hAnsi="Times New Roman" w:cs="Times New Roman"/>
        </w:rPr>
        <w:t xml:space="preserve">Catherine Ashton, la « ministre des affaires étrangères » de l’Union a récemment rappelé « l’illégalité des colonies au </w:t>
      </w:r>
      <w:r w:rsidR="00DD2DE2">
        <w:rPr>
          <w:rStyle w:val="CharacterStyle1"/>
          <w:rFonts w:ascii="Times New Roman" w:hAnsi="Times New Roman" w:cs="Times New Roman"/>
        </w:rPr>
        <w:t>regard du droit international »</w:t>
      </w:r>
      <w:r w:rsidR="00621432">
        <w:rPr>
          <w:rStyle w:val="CharacterStyle1"/>
          <w:rFonts w:ascii="Times New Roman" w:hAnsi="Times New Roman" w:cs="Times New Roman"/>
        </w:rPr>
        <w:t>.</w:t>
      </w:r>
      <w:r w:rsidR="00DD2DE2">
        <w:rPr>
          <w:rStyle w:val="CharacterStyle1"/>
          <w:rFonts w:ascii="Times New Roman" w:hAnsi="Times New Roman" w:cs="Times New Roman"/>
        </w:rPr>
        <w:t xml:space="preserve"> Pour l’Europe elles «constituent un obstacle à l’instauration de la paix ; elles risquent de rendre impossible une solution fondée sur la coexistence de deux Etats »</w:t>
      </w:r>
    </w:p>
    <w:p w:rsidR="00DD2DE2" w:rsidRDefault="00DD2DE2" w:rsidP="00D500EC">
      <w:pPr>
        <w:jc w:val="both"/>
        <w:rPr>
          <w:rStyle w:val="CharacterStyle1"/>
          <w:rFonts w:ascii="Times New Roman" w:hAnsi="Times New Roman" w:cs="Times New Roman"/>
        </w:rPr>
      </w:pPr>
    </w:p>
    <w:p w:rsidR="005F75A5" w:rsidRDefault="00A21262" w:rsidP="00D500EC">
      <w:pPr>
        <w:jc w:val="both"/>
        <w:rPr>
          <w:rStyle w:val="CharacterStyle1"/>
          <w:rFonts w:ascii="Times New Roman" w:hAnsi="Times New Roman" w:cs="Times New Roman"/>
        </w:rPr>
      </w:pPr>
      <w:r>
        <w:rPr>
          <w:rStyle w:val="CharacterStyle1"/>
          <w:rFonts w:ascii="Times New Roman" w:hAnsi="Times New Roman" w:cs="Times New Roman"/>
        </w:rPr>
        <w:t>Mais les actes de l’Union vont à contresens de ses constats et de ses affirmations de principe. Plusie</w:t>
      </w:r>
      <w:r w:rsidR="000960B3">
        <w:rPr>
          <w:rStyle w:val="CharacterStyle1"/>
          <w:rFonts w:ascii="Times New Roman" w:hAnsi="Times New Roman" w:cs="Times New Roman"/>
        </w:rPr>
        <w:t>urs pays européens, notamment les</w:t>
      </w:r>
      <w:r>
        <w:rPr>
          <w:rStyle w:val="CharacterStyle1"/>
          <w:rFonts w:ascii="Times New Roman" w:hAnsi="Times New Roman" w:cs="Times New Roman"/>
        </w:rPr>
        <w:t xml:space="preserve"> Pays-</w:t>
      </w:r>
      <w:r w:rsidR="00621432">
        <w:rPr>
          <w:rStyle w:val="CharacterStyle1"/>
          <w:rFonts w:ascii="Times New Roman" w:hAnsi="Times New Roman" w:cs="Times New Roman"/>
        </w:rPr>
        <w:t>Bas, l’Allemagne, l’Italie, la R</w:t>
      </w:r>
      <w:r>
        <w:rPr>
          <w:rStyle w:val="CharacterStyle1"/>
          <w:rFonts w:ascii="Times New Roman" w:hAnsi="Times New Roman" w:cs="Times New Roman"/>
        </w:rPr>
        <w:t xml:space="preserve">épublique </w:t>
      </w:r>
      <w:r w:rsidR="00621432">
        <w:rPr>
          <w:rStyle w:val="CharacterStyle1"/>
          <w:rFonts w:ascii="Times New Roman" w:hAnsi="Times New Roman" w:cs="Times New Roman"/>
        </w:rPr>
        <w:t>Tchèque</w:t>
      </w:r>
      <w:r>
        <w:rPr>
          <w:rStyle w:val="CharacterStyle1"/>
          <w:rFonts w:ascii="Times New Roman" w:hAnsi="Times New Roman" w:cs="Times New Roman"/>
        </w:rPr>
        <w:t xml:space="preserve"> sont hostiles à toutes condamnation</w:t>
      </w:r>
      <w:r w:rsidR="000960B3">
        <w:rPr>
          <w:rStyle w:val="CharacterStyle1"/>
          <w:rFonts w:ascii="Times New Roman" w:hAnsi="Times New Roman" w:cs="Times New Roman"/>
        </w:rPr>
        <w:t>s</w:t>
      </w:r>
      <w:r>
        <w:rPr>
          <w:rStyle w:val="CharacterStyle1"/>
          <w:rFonts w:ascii="Times New Roman" w:hAnsi="Times New Roman" w:cs="Times New Roman"/>
        </w:rPr>
        <w:t xml:space="preserve"> officielle</w:t>
      </w:r>
      <w:r w:rsidR="000960B3">
        <w:rPr>
          <w:rStyle w:val="CharacterStyle1"/>
          <w:rFonts w:ascii="Times New Roman" w:hAnsi="Times New Roman" w:cs="Times New Roman"/>
        </w:rPr>
        <w:t>s</w:t>
      </w:r>
      <w:r>
        <w:rPr>
          <w:rStyle w:val="CharacterStyle1"/>
          <w:rFonts w:ascii="Times New Roman" w:hAnsi="Times New Roman" w:cs="Times New Roman"/>
        </w:rPr>
        <w:t>.</w:t>
      </w:r>
      <w:r w:rsidR="00DD2DE2">
        <w:rPr>
          <w:rStyle w:val="CharacterStyle1"/>
          <w:rFonts w:ascii="Times New Roman" w:hAnsi="Times New Roman" w:cs="Times New Roman"/>
        </w:rPr>
        <w:t xml:space="preserve"> </w:t>
      </w:r>
      <w:r w:rsidR="001B2A99">
        <w:rPr>
          <w:rStyle w:val="CharacterStyle1"/>
          <w:rFonts w:ascii="Times New Roman" w:hAnsi="Times New Roman" w:cs="Times New Roman"/>
        </w:rPr>
        <w:t>Les recommandations des consuls ne seront pas suivies d’effets. Au contraire.</w:t>
      </w:r>
    </w:p>
    <w:p w:rsidR="00A21262" w:rsidRDefault="00A21262" w:rsidP="00D500EC">
      <w:pPr>
        <w:jc w:val="both"/>
        <w:rPr>
          <w:rStyle w:val="CharacterStyle1"/>
          <w:rFonts w:ascii="Times New Roman" w:hAnsi="Times New Roman" w:cs="Times New Roman"/>
        </w:rPr>
      </w:pPr>
    </w:p>
    <w:p w:rsidR="00A21262" w:rsidRDefault="00A21262" w:rsidP="00D500EC">
      <w:pPr>
        <w:jc w:val="both"/>
        <w:rPr>
          <w:rStyle w:val="CharacterStyle1"/>
          <w:rFonts w:ascii="Times New Roman" w:hAnsi="Times New Roman" w:cs="Times New Roman"/>
        </w:rPr>
      </w:pPr>
      <w:r>
        <w:rPr>
          <w:rStyle w:val="CharacterStyle1"/>
          <w:rFonts w:ascii="Times New Roman" w:hAnsi="Times New Roman" w:cs="Times New Roman"/>
        </w:rPr>
        <w:t xml:space="preserve">L’Union avait un projet </w:t>
      </w:r>
      <w:r w:rsidR="000960B3">
        <w:rPr>
          <w:rStyle w:val="CharacterStyle1"/>
          <w:rFonts w:ascii="Times New Roman" w:hAnsi="Times New Roman" w:cs="Times New Roman"/>
        </w:rPr>
        <w:t xml:space="preserve">avant 2009, </w:t>
      </w:r>
      <w:r>
        <w:rPr>
          <w:rStyle w:val="CharacterStyle1"/>
          <w:rFonts w:ascii="Times New Roman" w:hAnsi="Times New Roman" w:cs="Times New Roman"/>
        </w:rPr>
        <w:t>de « rehaussement de ses relations » avec Israël. A la suite de l’intervention militaire d’Isr</w:t>
      </w:r>
      <w:r w:rsidR="001B2A99">
        <w:rPr>
          <w:rStyle w:val="CharacterStyle1"/>
          <w:rFonts w:ascii="Times New Roman" w:hAnsi="Times New Roman" w:cs="Times New Roman"/>
        </w:rPr>
        <w:t xml:space="preserve">aël </w:t>
      </w:r>
      <w:r w:rsidR="000960B3">
        <w:rPr>
          <w:rStyle w:val="CharacterStyle1"/>
          <w:rFonts w:ascii="Times New Roman" w:hAnsi="Times New Roman" w:cs="Times New Roman"/>
        </w:rPr>
        <w:t xml:space="preserve">« Plomb durci » qui a causé 1400 morts dans le bande de Gaza, </w:t>
      </w:r>
      <w:r>
        <w:rPr>
          <w:rStyle w:val="CharacterStyle1"/>
          <w:rFonts w:ascii="Times New Roman" w:hAnsi="Times New Roman" w:cs="Times New Roman"/>
        </w:rPr>
        <w:t>ce projet a</w:t>
      </w:r>
      <w:r w:rsidR="001B2A99">
        <w:rPr>
          <w:rStyle w:val="CharacterStyle1"/>
          <w:rFonts w:ascii="Times New Roman" w:hAnsi="Times New Roman" w:cs="Times New Roman"/>
        </w:rPr>
        <w:t>vait</w:t>
      </w:r>
      <w:r>
        <w:rPr>
          <w:rStyle w:val="CharacterStyle1"/>
          <w:rFonts w:ascii="Times New Roman" w:hAnsi="Times New Roman" w:cs="Times New Roman"/>
        </w:rPr>
        <w:t xml:space="preserve"> été </w:t>
      </w:r>
      <w:r w:rsidR="001B2A99">
        <w:rPr>
          <w:rStyle w:val="CharacterStyle1"/>
          <w:rFonts w:ascii="Times New Roman" w:hAnsi="Times New Roman" w:cs="Times New Roman"/>
        </w:rPr>
        <w:t>abandonné. Il ressurgit. L’Union européenne va renforcer ses liens avec Israël par le biais de 60 nouvelles activités concernant le mouvement des personnes, l’agriculture, la sécurité, la coopératio</w:t>
      </w:r>
      <w:r w:rsidR="000960B3">
        <w:rPr>
          <w:rStyle w:val="CharacterStyle1"/>
          <w:rFonts w:ascii="Times New Roman" w:hAnsi="Times New Roman" w:cs="Times New Roman"/>
        </w:rPr>
        <w:t>n avec le concours des agences d</w:t>
      </w:r>
      <w:r w:rsidR="001B2A99">
        <w:rPr>
          <w:rStyle w:val="CharacterStyle1"/>
          <w:rFonts w:ascii="Times New Roman" w:hAnsi="Times New Roman" w:cs="Times New Roman"/>
        </w:rPr>
        <w:t xml:space="preserve">es plus importantes de l’Union européenne. </w:t>
      </w:r>
      <w:r w:rsidR="003D67F5">
        <w:rPr>
          <w:rStyle w:val="CharacterStyle1"/>
          <w:rFonts w:ascii="Times New Roman" w:hAnsi="Times New Roman" w:cs="Times New Roman"/>
        </w:rPr>
        <w:t>Ce renforcement des relations avec Israël, alors que ce pays annexe progressivement la Palestine dans l’illégalité internationale, est jugé inopportun par des ONG, dont la fédération internationale des  ligues des droits de l’Homme.</w:t>
      </w:r>
    </w:p>
    <w:p w:rsidR="00DD2DE2" w:rsidRDefault="00DD2DE2" w:rsidP="00D500EC">
      <w:pPr>
        <w:jc w:val="both"/>
        <w:rPr>
          <w:rStyle w:val="CharacterStyle1"/>
          <w:rFonts w:ascii="Times New Roman" w:hAnsi="Times New Roman" w:cs="Times New Roman"/>
        </w:rPr>
      </w:pPr>
    </w:p>
    <w:p w:rsidR="003D67F5" w:rsidRDefault="00DD2DE2" w:rsidP="00D500EC">
      <w:pPr>
        <w:jc w:val="both"/>
        <w:rPr>
          <w:rStyle w:val="CharacterStyle1"/>
          <w:rFonts w:ascii="Times New Roman" w:hAnsi="Times New Roman" w:cs="Times New Roman"/>
        </w:rPr>
      </w:pPr>
      <w:r>
        <w:rPr>
          <w:rStyle w:val="CharacterStyle1"/>
          <w:rFonts w:ascii="Times New Roman" w:hAnsi="Times New Roman" w:cs="Times New Roman"/>
        </w:rPr>
        <w:t>L</w:t>
      </w:r>
      <w:r w:rsidR="003D67F5">
        <w:rPr>
          <w:rStyle w:val="CharacterStyle1"/>
          <w:rFonts w:ascii="Times New Roman" w:hAnsi="Times New Roman" w:cs="Times New Roman"/>
        </w:rPr>
        <w:t xml:space="preserve">es importations </w:t>
      </w:r>
      <w:r w:rsidR="000960B3">
        <w:rPr>
          <w:rStyle w:val="CharacterStyle1"/>
          <w:rFonts w:ascii="Times New Roman" w:hAnsi="Times New Roman" w:cs="Times New Roman"/>
        </w:rPr>
        <w:t>en Europe provenant</w:t>
      </w:r>
      <w:r w:rsidR="003D67F5">
        <w:rPr>
          <w:rStyle w:val="CharacterStyle1"/>
          <w:rFonts w:ascii="Times New Roman" w:hAnsi="Times New Roman" w:cs="Times New Roman"/>
        </w:rPr>
        <w:t xml:space="preserve"> des colonies </w:t>
      </w:r>
      <w:r>
        <w:rPr>
          <w:rStyle w:val="CharacterStyle1"/>
          <w:rFonts w:ascii="Times New Roman" w:hAnsi="Times New Roman" w:cs="Times New Roman"/>
        </w:rPr>
        <w:t xml:space="preserve">israéliennes posent un problème particulier. Selon un rapport de 22 ONG rendu public le 30 octobre, </w:t>
      </w:r>
      <w:r w:rsidR="00EB7E31">
        <w:rPr>
          <w:rStyle w:val="CharacterStyle1"/>
          <w:rFonts w:ascii="Times New Roman" w:hAnsi="Times New Roman" w:cs="Times New Roman"/>
        </w:rPr>
        <w:t>elles sont en valeur 15 fois supérieures à celles d</w:t>
      </w:r>
      <w:r w:rsidR="000960B3">
        <w:rPr>
          <w:rStyle w:val="CharacterStyle1"/>
          <w:rFonts w:ascii="Times New Roman" w:hAnsi="Times New Roman" w:cs="Times New Roman"/>
        </w:rPr>
        <w:t>es produits importés</w:t>
      </w:r>
      <w:r w:rsidR="00EB7E31">
        <w:rPr>
          <w:rStyle w:val="CharacterStyle1"/>
          <w:rFonts w:ascii="Times New Roman" w:hAnsi="Times New Roman" w:cs="Times New Roman"/>
        </w:rPr>
        <w:t xml:space="preserve"> des territoires palestiniens. Ces importations confortent les colonies illégales et maintiennent le statut quo. De plus, e</w:t>
      </w:r>
      <w:r>
        <w:rPr>
          <w:rStyle w:val="CharacterStyle1"/>
          <w:rFonts w:ascii="Times New Roman" w:hAnsi="Times New Roman" w:cs="Times New Roman"/>
        </w:rPr>
        <w:t>lles sont présentées au consommateur européen comme « made in Israël »</w:t>
      </w:r>
      <w:r w:rsidR="00EB7E31">
        <w:rPr>
          <w:rStyle w:val="CharacterStyle1"/>
          <w:rFonts w:ascii="Times New Roman" w:hAnsi="Times New Roman" w:cs="Times New Roman"/>
        </w:rPr>
        <w:t>, ce q</w:t>
      </w:r>
      <w:r w:rsidR="000960B3">
        <w:rPr>
          <w:rStyle w:val="CharacterStyle1"/>
          <w:rFonts w:ascii="Times New Roman" w:hAnsi="Times New Roman" w:cs="Times New Roman"/>
        </w:rPr>
        <w:t>ui empêche le consommateur de les</w:t>
      </w:r>
      <w:r w:rsidR="00EB7E31">
        <w:rPr>
          <w:rStyle w:val="CharacterStyle1"/>
          <w:rFonts w:ascii="Times New Roman" w:hAnsi="Times New Roman" w:cs="Times New Roman"/>
        </w:rPr>
        <w:t xml:space="preserve"> boycotter. Le rapport des ONG demande aux gouvernements européens de veiller à l’étiquetage correct des produits et d’envisager l’interdiction de l’importation des produits des colonies</w:t>
      </w:r>
      <w:r w:rsidR="00652740">
        <w:rPr>
          <w:rStyle w:val="CharacterStyle1"/>
          <w:rFonts w:ascii="Times New Roman" w:hAnsi="Times New Roman" w:cs="Times New Roman"/>
        </w:rPr>
        <w:t>.</w:t>
      </w:r>
    </w:p>
    <w:p w:rsidR="003D67F5" w:rsidRDefault="003D67F5" w:rsidP="00D500EC">
      <w:pPr>
        <w:jc w:val="both"/>
        <w:rPr>
          <w:rStyle w:val="CharacterStyle1"/>
          <w:rFonts w:ascii="Times New Roman" w:hAnsi="Times New Roman" w:cs="Times New Roman"/>
        </w:rPr>
      </w:pPr>
    </w:p>
    <w:p w:rsidR="003D67F5" w:rsidRDefault="00EB7E31" w:rsidP="00D500EC">
      <w:pPr>
        <w:jc w:val="both"/>
        <w:rPr>
          <w:rStyle w:val="CharacterStyle1"/>
          <w:rFonts w:ascii="Times New Roman" w:hAnsi="Times New Roman" w:cs="Times New Roman"/>
        </w:rPr>
      </w:pPr>
      <w:r>
        <w:rPr>
          <w:rStyle w:val="CharacterStyle1"/>
          <w:rFonts w:ascii="Times New Roman" w:hAnsi="Times New Roman" w:cs="Times New Roman"/>
        </w:rPr>
        <w:t xml:space="preserve">L’Europe a un intérêt stratégique à la résolution du conflit </w:t>
      </w:r>
      <w:r w:rsidR="00621432">
        <w:rPr>
          <w:rStyle w:val="CharacterStyle1"/>
          <w:rFonts w:ascii="Times New Roman" w:hAnsi="Times New Roman" w:cs="Times New Roman"/>
        </w:rPr>
        <w:t>i</w:t>
      </w:r>
      <w:r>
        <w:rPr>
          <w:rStyle w:val="CharacterStyle1"/>
          <w:rFonts w:ascii="Times New Roman" w:hAnsi="Times New Roman" w:cs="Times New Roman"/>
        </w:rPr>
        <w:t xml:space="preserve">sraélo-palestinien. La persistance de ce conflit handicape toute politique européenne vers les pays méditerranéens et du Moyen-Orient, alors que les changements dans les pays arabes sont le principal défi, après la crise, pour l’Union européenne. L’Union est le principal financeur de la </w:t>
      </w:r>
      <w:r w:rsidR="00652740">
        <w:rPr>
          <w:rStyle w:val="CharacterStyle1"/>
          <w:rFonts w:ascii="Times New Roman" w:hAnsi="Times New Roman" w:cs="Times New Roman"/>
        </w:rPr>
        <w:t>Palestine. Elle est</w:t>
      </w:r>
      <w:r>
        <w:rPr>
          <w:rStyle w:val="CharacterStyle1"/>
          <w:rFonts w:ascii="Times New Roman" w:hAnsi="Times New Roman" w:cs="Times New Roman"/>
        </w:rPr>
        <w:t xml:space="preserve"> le principal partenaire commercial d’</w:t>
      </w:r>
      <w:r w:rsidR="00652740">
        <w:rPr>
          <w:rStyle w:val="CharacterStyle1"/>
          <w:rFonts w:ascii="Times New Roman" w:hAnsi="Times New Roman" w:cs="Times New Roman"/>
        </w:rPr>
        <w:t>Israël</w:t>
      </w:r>
      <w:r>
        <w:rPr>
          <w:rStyle w:val="CharacterStyle1"/>
          <w:rFonts w:ascii="Times New Roman" w:hAnsi="Times New Roman" w:cs="Times New Roman"/>
        </w:rPr>
        <w:t xml:space="preserve">. </w:t>
      </w:r>
      <w:r w:rsidR="00652740">
        <w:rPr>
          <w:rStyle w:val="CharacterStyle1"/>
          <w:rFonts w:ascii="Times New Roman" w:hAnsi="Times New Roman" w:cs="Times New Roman"/>
        </w:rPr>
        <w:t>Elle a les moyens de pression nécessaires pour peser dans ce conflit. Mais elle ne le fait pas, paralysée par ses divisions</w:t>
      </w:r>
      <w:r w:rsidR="000960B3">
        <w:rPr>
          <w:rStyle w:val="CharacterStyle1"/>
          <w:rFonts w:ascii="Times New Roman" w:hAnsi="Times New Roman" w:cs="Times New Roman"/>
        </w:rPr>
        <w:t xml:space="preserve"> internes</w:t>
      </w:r>
      <w:r w:rsidR="00652740">
        <w:rPr>
          <w:rStyle w:val="CharacterStyle1"/>
          <w:rFonts w:ascii="Times New Roman" w:hAnsi="Times New Roman" w:cs="Times New Roman"/>
        </w:rPr>
        <w:t xml:space="preserve">.  </w:t>
      </w:r>
    </w:p>
    <w:p w:rsidR="003D67F5" w:rsidRDefault="003D67F5" w:rsidP="00D500EC">
      <w:pPr>
        <w:jc w:val="both"/>
        <w:rPr>
          <w:rStyle w:val="CharacterStyle1"/>
          <w:rFonts w:ascii="Times New Roman" w:hAnsi="Times New Roman" w:cs="Times New Roman"/>
        </w:rPr>
      </w:pPr>
    </w:p>
    <w:p w:rsidR="00076B39" w:rsidRPr="000F19B5" w:rsidRDefault="00076B39" w:rsidP="0006720A">
      <w:pPr>
        <w:jc w:val="both"/>
        <w:rPr>
          <w:rStyle w:val="CharacterStyle1"/>
          <w:rFonts w:ascii="Times New Roman" w:hAnsi="Times New Roman" w:cs="Times New Roman"/>
        </w:rPr>
      </w:pPr>
    </w:p>
    <w:sectPr w:rsidR="00076B39" w:rsidRPr="000F19B5" w:rsidSect="00D777BC">
      <w:pgSz w:w="11906" w:h="16838"/>
      <w:pgMar w:top="720" w:right="720" w:bottom="720" w:left="720" w:header="1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42B" w:rsidRDefault="0033142B">
      <w:r>
        <w:separator/>
      </w:r>
    </w:p>
  </w:endnote>
  <w:endnote w:type="continuationSeparator" w:id="0">
    <w:p w:rsidR="0033142B" w:rsidRDefault="00331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42B" w:rsidRDefault="0033142B">
      <w:r>
        <w:separator/>
      </w:r>
    </w:p>
  </w:footnote>
  <w:footnote w:type="continuationSeparator" w:id="0">
    <w:p w:rsidR="0033142B" w:rsidRDefault="00331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34C"/>
    <w:multiLevelType w:val="hybridMultilevel"/>
    <w:tmpl w:val="3C365250"/>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C96A14"/>
    <w:multiLevelType w:val="hybridMultilevel"/>
    <w:tmpl w:val="C3066038"/>
    <w:lvl w:ilvl="0" w:tplc="905CB070">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4E5AE9"/>
    <w:multiLevelType w:val="hybridMultilevel"/>
    <w:tmpl w:val="4C4C72EC"/>
    <w:lvl w:ilvl="0" w:tplc="3BFA34D0">
      <w:start w:val="8"/>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4FB0595"/>
    <w:multiLevelType w:val="hybridMultilevel"/>
    <w:tmpl w:val="BC989F74"/>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05F227D"/>
    <w:multiLevelType w:val="hybridMultilevel"/>
    <w:tmpl w:val="21A2B1FE"/>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26C0E9B"/>
    <w:multiLevelType w:val="hybridMultilevel"/>
    <w:tmpl w:val="9F38C5A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5CD3512"/>
    <w:multiLevelType w:val="hybridMultilevel"/>
    <w:tmpl w:val="9AE2640C"/>
    <w:lvl w:ilvl="0" w:tplc="ACCA40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2B74C0"/>
    <w:multiLevelType w:val="hybridMultilevel"/>
    <w:tmpl w:val="7C06939C"/>
    <w:lvl w:ilvl="0" w:tplc="671650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282ED6"/>
    <w:multiLevelType w:val="hybridMultilevel"/>
    <w:tmpl w:val="E4F64AC2"/>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0A346B4"/>
    <w:multiLevelType w:val="hybridMultilevel"/>
    <w:tmpl w:val="4A1699BA"/>
    <w:lvl w:ilvl="0" w:tplc="CF58ED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7F3A59"/>
    <w:multiLevelType w:val="hybridMultilevel"/>
    <w:tmpl w:val="48CE91F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8F44D9D"/>
    <w:multiLevelType w:val="hybridMultilevel"/>
    <w:tmpl w:val="B88C71E6"/>
    <w:lvl w:ilvl="0" w:tplc="133C3BF0">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B384567"/>
    <w:multiLevelType w:val="hybridMultilevel"/>
    <w:tmpl w:val="7CD6A98E"/>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3D07EDE"/>
    <w:multiLevelType w:val="hybridMultilevel"/>
    <w:tmpl w:val="3386F132"/>
    <w:lvl w:ilvl="0" w:tplc="EEA848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B8289A"/>
    <w:multiLevelType w:val="hybridMultilevel"/>
    <w:tmpl w:val="F28EE6B2"/>
    <w:lvl w:ilvl="0" w:tplc="F47CC520">
      <w:numFmt w:val="bullet"/>
      <w:lvlText w:val="-"/>
      <w:lvlJc w:val="left"/>
      <w:pPr>
        <w:tabs>
          <w:tab w:val="num" w:pos="720"/>
        </w:tabs>
        <w:ind w:left="720" w:hanging="360"/>
      </w:pPr>
      <w:rPr>
        <w:rFonts w:ascii="Times New Roman" w:eastAsia="Times New Roman" w:hAnsi="Times New Roman" w:cs="Times New Roman" w:hint="default"/>
      </w:rPr>
    </w:lvl>
    <w:lvl w:ilvl="1" w:tplc="EFFE8282">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1260606"/>
    <w:multiLevelType w:val="hybridMultilevel"/>
    <w:tmpl w:val="A1688E84"/>
    <w:lvl w:ilvl="0" w:tplc="71E6EE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AC546D"/>
    <w:multiLevelType w:val="hybridMultilevel"/>
    <w:tmpl w:val="7D5E0744"/>
    <w:lvl w:ilvl="0" w:tplc="24B6C8B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2"/>
  </w:num>
  <w:num w:numId="4">
    <w:abstractNumId w:val="14"/>
  </w:num>
  <w:num w:numId="5">
    <w:abstractNumId w:val="4"/>
  </w:num>
  <w:num w:numId="6">
    <w:abstractNumId w:val="0"/>
  </w:num>
  <w:num w:numId="7">
    <w:abstractNumId w:val="16"/>
  </w:num>
  <w:num w:numId="8">
    <w:abstractNumId w:val="10"/>
  </w:num>
  <w:num w:numId="9">
    <w:abstractNumId w:val="8"/>
  </w:num>
  <w:num w:numId="10">
    <w:abstractNumId w:val="2"/>
  </w:num>
  <w:num w:numId="11">
    <w:abstractNumId w:val="3"/>
  </w:num>
  <w:num w:numId="12">
    <w:abstractNumId w:val="13"/>
  </w:num>
  <w:num w:numId="13">
    <w:abstractNumId w:val="1"/>
  </w:num>
  <w:num w:numId="14">
    <w:abstractNumId w:val="9"/>
  </w:num>
  <w:num w:numId="15">
    <w:abstractNumId w:val="15"/>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A950E2"/>
    <w:rsid w:val="00001A9B"/>
    <w:rsid w:val="0000321C"/>
    <w:rsid w:val="00003487"/>
    <w:rsid w:val="00005782"/>
    <w:rsid w:val="00005805"/>
    <w:rsid w:val="0001201B"/>
    <w:rsid w:val="00013099"/>
    <w:rsid w:val="000165A2"/>
    <w:rsid w:val="00026E0D"/>
    <w:rsid w:val="000315A5"/>
    <w:rsid w:val="00035ACE"/>
    <w:rsid w:val="00042AB3"/>
    <w:rsid w:val="000517BA"/>
    <w:rsid w:val="00051A02"/>
    <w:rsid w:val="000528A9"/>
    <w:rsid w:val="000533C6"/>
    <w:rsid w:val="0006720A"/>
    <w:rsid w:val="0007100D"/>
    <w:rsid w:val="00073E10"/>
    <w:rsid w:val="0007476E"/>
    <w:rsid w:val="00076475"/>
    <w:rsid w:val="00076B39"/>
    <w:rsid w:val="00081A95"/>
    <w:rsid w:val="00081F41"/>
    <w:rsid w:val="00083B84"/>
    <w:rsid w:val="000960B3"/>
    <w:rsid w:val="000A2959"/>
    <w:rsid w:val="000A2CCD"/>
    <w:rsid w:val="000A7275"/>
    <w:rsid w:val="000B2D88"/>
    <w:rsid w:val="000B3111"/>
    <w:rsid w:val="000B72A9"/>
    <w:rsid w:val="000C0D28"/>
    <w:rsid w:val="000C52C6"/>
    <w:rsid w:val="000C597C"/>
    <w:rsid w:val="000C67E2"/>
    <w:rsid w:val="000C6951"/>
    <w:rsid w:val="000C6F53"/>
    <w:rsid w:val="000D35B3"/>
    <w:rsid w:val="000D79C5"/>
    <w:rsid w:val="000E6FC2"/>
    <w:rsid w:val="000F19B5"/>
    <w:rsid w:val="00104BA9"/>
    <w:rsid w:val="00114AC4"/>
    <w:rsid w:val="001157CE"/>
    <w:rsid w:val="00116C0F"/>
    <w:rsid w:val="00117C51"/>
    <w:rsid w:val="0012372A"/>
    <w:rsid w:val="00123FB4"/>
    <w:rsid w:val="00125AF3"/>
    <w:rsid w:val="00126EC6"/>
    <w:rsid w:val="001316B6"/>
    <w:rsid w:val="0014372E"/>
    <w:rsid w:val="00147C2B"/>
    <w:rsid w:val="00151C0A"/>
    <w:rsid w:val="00153E7B"/>
    <w:rsid w:val="00162525"/>
    <w:rsid w:val="00172F7D"/>
    <w:rsid w:val="00186FB1"/>
    <w:rsid w:val="001A238D"/>
    <w:rsid w:val="001A31C3"/>
    <w:rsid w:val="001A5851"/>
    <w:rsid w:val="001A6F6A"/>
    <w:rsid w:val="001A7C40"/>
    <w:rsid w:val="001B063D"/>
    <w:rsid w:val="001B18A9"/>
    <w:rsid w:val="001B2A99"/>
    <w:rsid w:val="001B5449"/>
    <w:rsid w:val="001B5ADE"/>
    <w:rsid w:val="001B6582"/>
    <w:rsid w:val="001B7698"/>
    <w:rsid w:val="001B7AD3"/>
    <w:rsid w:val="001C04D1"/>
    <w:rsid w:val="001C08E7"/>
    <w:rsid w:val="001C3513"/>
    <w:rsid w:val="001C5145"/>
    <w:rsid w:val="001C64DB"/>
    <w:rsid w:val="001D0DA6"/>
    <w:rsid w:val="001D6805"/>
    <w:rsid w:val="001D74FD"/>
    <w:rsid w:val="001E319E"/>
    <w:rsid w:val="001E458B"/>
    <w:rsid w:val="001E6F94"/>
    <w:rsid w:val="00205CEC"/>
    <w:rsid w:val="002252C6"/>
    <w:rsid w:val="0023062D"/>
    <w:rsid w:val="002377D2"/>
    <w:rsid w:val="00253E51"/>
    <w:rsid w:val="00254B5C"/>
    <w:rsid w:val="002610D6"/>
    <w:rsid w:val="00261BE0"/>
    <w:rsid w:val="00264BF6"/>
    <w:rsid w:val="002726D1"/>
    <w:rsid w:val="00286133"/>
    <w:rsid w:val="00287FBC"/>
    <w:rsid w:val="00295074"/>
    <w:rsid w:val="00295099"/>
    <w:rsid w:val="002965A6"/>
    <w:rsid w:val="002A31F8"/>
    <w:rsid w:val="002A3A2C"/>
    <w:rsid w:val="002A469C"/>
    <w:rsid w:val="002A78AA"/>
    <w:rsid w:val="002B01AE"/>
    <w:rsid w:val="002C02E8"/>
    <w:rsid w:val="002C78C1"/>
    <w:rsid w:val="002C792B"/>
    <w:rsid w:val="002D07A7"/>
    <w:rsid w:val="002F1BD5"/>
    <w:rsid w:val="002F4164"/>
    <w:rsid w:val="003026B3"/>
    <w:rsid w:val="00303C7F"/>
    <w:rsid w:val="00305BF6"/>
    <w:rsid w:val="003114AA"/>
    <w:rsid w:val="003118C4"/>
    <w:rsid w:val="00313C51"/>
    <w:rsid w:val="00316901"/>
    <w:rsid w:val="00321713"/>
    <w:rsid w:val="00322CD6"/>
    <w:rsid w:val="0033142B"/>
    <w:rsid w:val="0033674E"/>
    <w:rsid w:val="0034446B"/>
    <w:rsid w:val="00355FF9"/>
    <w:rsid w:val="00357664"/>
    <w:rsid w:val="003641B1"/>
    <w:rsid w:val="00366987"/>
    <w:rsid w:val="00366D41"/>
    <w:rsid w:val="0037065B"/>
    <w:rsid w:val="00370888"/>
    <w:rsid w:val="003729B6"/>
    <w:rsid w:val="0037375E"/>
    <w:rsid w:val="00377EB4"/>
    <w:rsid w:val="0038112F"/>
    <w:rsid w:val="00386675"/>
    <w:rsid w:val="00396E2A"/>
    <w:rsid w:val="003A0FD8"/>
    <w:rsid w:val="003A2604"/>
    <w:rsid w:val="003A3E81"/>
    <w:rsid w:val="003A68EC"/>
    <w:rsid w:val="003A716C"/>
    <w:rsid w:val="003B3CB4"/>
    <w:rsid w:val="003B5080"/>
    <w:rsid w:val="003B6F3B"/>
    <w:rsid w:val="003C2A33"/>
    <w:rsid w:val="003D6072"/>
    <w:rsid w:val="003D67F5"/>
    <w:rsid w:val="003E0281"/>
    <w:rsid w:val="003E182B"/>
    <w:rsid w:val="003E36FF"/>
    <w:rsid w:val="003F4190"/>
    <w:rsid w:val="003F664C"/>
    <w:rsid w:val="00401643"/>
    <w:rsid w:val="00401C0D"/>
    <w:rsid w:val="004156EB"/>
    <w:rsid w:val="00422E1A"/>
    <w:rsid w:val="0042718B"/>
    <w:rsid w:val="00427E83"/>
    <w:rsid w:val="00432BCB"/>
    <w:rsid w:val="00433CFA"/>
    <w:rsid w:val="00436411"/>
    <w:rsid w:val="00437BD6"/>
    <w:rsid w:val="00444D0C"/>
    <w:rsid w:val="0045529F"/>
    <w:rsid w:val="004552A9"/>
    <w:rsid w:val="004632C2"/>
    <w:rsid w:val="00463ECF"/>
    <w:rsid w:val="0046617D"/>
    <w:rsid w:val="00466187"/>
    <w:rsid w:val="004663F3"/>
    <w:rsid w:val="0046757C"/>
    <w:rsid w:val="00480D24"/>
    <w:rsid w:val="00481F96"/>
    <w:rsid w:val="00484351"/>
    <w:rsid w:val="00484FC9"/>
    <w:rsid w:val="004850E4"/>
    <w:rsid w:val="0048516F"/>
    <w:rsid w:val="00487356"/>
    <w:rsid w:val="00487C29"/>
    <w:rsid w:val="004A03BC"/>
    <w:rsid w:val="004A09D3"/>
    <w:rsid w:val="004A0F7A"/>
    <w:rsid w:val="004A1B26"/>
    <w:rsid w:val="004A1F92"/>
    <w:rsid w:val="004A6E5A"/>
    <w:rsid w:val="004B004D"/>
    <w:rsid w:val="004B21DB"/>
    <w:rsid w:val="004B250C"/>
    <w:rsid w:val="004B36A4"/>
    <w:rsid w:val="004B6494"/>
    <w:rsid w:val="004D128C"/>
    <w:rsid w:val="004D73DB"/>
    <w:rsid w:val="004E50C4"/>
    <w:rsid w:val="004E625F"/>
    <w:rsid w:val="004E79AE"/>
    <w:rsid w:val="004F22E8"/>
    <w:rsid w:val="004F591B"/>
    <w:rsid w:val="00501E93"/>
    <w:rsid w:val="005024D9"/>
    <w:rsid w:val="00513474"/>
    <w:rsid w:val="00515355"/>
    <w:rsid w:val="005245F7"/>
    <w:rsid w:val="00531893"/>
    <w:rsid w:val="005364A5"/>
    <w:rsid w:val="005366F5"/>
    <w:rsid w:val="00537138"/>
    <w:rsid w:val="00553806"/>
    <w:rsid w:val="00554B17"/>
    <w:rsid w:val="00565766"/>
    <w:rsid w:val="00565FF6"/>
    <w:rsid w:val="00571176"/>
    <w:rsid w:val="00571BA6"/>
    <w:rsid w:val="00586381"/>
    <w:rsid w:val="00587BE4"/>
    <w:rsid w:val="005978E6"/>
    <w:rsid w:val="005A0534"/>
    <w:rsid w:val="005A0A6C"/>
    <w:rsid w:val="005A43F2"/>
    <w:rsid w:val="005B32EE"/>
    <w:rsid w:val="005B3FB9"/>
    <w:rsid w:val="005B4769"/>
    <w:rsid w:val="005B5CC5"/>
    <w:rsid w:val="005D0A35"/>
    <w:rsid w:val="005D1CBD"/>
    <w:rsid w:val="005E0972"/>
    <w:rsid w:val="005F1CB9"/>
    <w:rsid w:val="005F75A5"/>
    <w:rsid w:val="006054E3"/>
    <w:rsid w:val="00607CE1"/>
    <w:rsid w:val="00607E8C"/>
    <w:rsid w:val="00615662"/>
    <w:rsid w:val="00621432"/>
    <w:rsid w:val="0062328E"/>
    <w:rsid w:val="0062331D"/>
    <w:rsid w:val="00627671"/>
    <w:rsid w:val="006365A3"/>
    <w:rsid w:val="006455E3"/>
    <w:rsid w:val="006457D7"/>
    <w:rsid w:val="00652740"/>
    <w:rsid w:val="00654057"/>
    <w:rsid w:val="00655547"/>
    <w:rsid w:val="006613DA"/>
    <w:rsid w:val="0066282A"/>
    <w:rsid w:val="006634BD"/>
    <w:rsid w:val="006667F6"/>
    <w:rsid w:val="00674C22"/>
    <w:rsid w:val="00676858"/>
    <w:rsid w:val="00677D25"/>
    <w:rsid w:val="00680061"/>
    <w:rsid w:val="00694EA0"/>
    <w:rsid w:val="006B04D5"/>
    <w:rsid w:val="006B063F"/>
    <w:rsid w:val="006B1888"/>
    <w:rsid w:val="006B367F"/>
    <w:rsid w:val="006C5019"/>
    <w:rsid w:val="006C78DB"/>
    <w:rsid w:val="006D201C"/>
    <w:rsid w:val="006D690A"/>
    <w:rsid w:val="006E13C8"/>
    <w:rsid w:val="006E18D0"/>
    <w:rsid w:val="006E284E"/>
    <w:rsid w:val="006E3B39"/>
    <w:rsid w:val="006F1993"/>
    <w:rsid w:val="007021B3"/>
    <w:rsid w:val="0070544C"/>
    <w:rsid w:val="007065E8"/>
    <w:rsid w:val="007070D4"/>
    <w:rsid w:val="00710F3D"/>
    <w:rsid w:val="0071189E"/>
    <w:rsid w:val="00714A7D"/>
    <w:rsid w:val="00721E18"/>
    <w:rsid w:val="007234DB"/>
    <w:rsid w:val="007303AB"/>
    <w:rsid w:val="0073544B"/>
    <w:rsid w:val="0073608A"/>
    <w:rsid w:val="00743F4D"/>
    <w:rsid w:val="00761505"/>
    <w:rsid w:val="00766621"/>
    <w:rsid w:val="00776D72"/>
    <w:rsid w:val="00777DD6"/>
    <w:rsid w:val="007802D4"/>
    <w:rsid w:val="00785CA3"/>
    <w:rsid w:val="00787664"/>
    <w:rsid w:val="007901D1"/>
    <w:rsid w:val="0079332A"/>
    <w:rsid w:val="007B1F59"/>
    <w:rsid w:val="007B4599"/>
    <w:rsid w:val="007C49A4"/>
    <w:rsid w:val="007C702F"/>
    <w:rsid w:val="007C7149"/>
    <w:rsid w:val="007D0FCC"/>
    <w:rsid w:val="007D1027"/>
    <w:rsid w:val="007D121F"/>
    <w:rsid w:val="007D3F0F"/>
    <w:rsid w:val="007D71CC"/>
    <w:rsid w:val="007E32B0"/>
    <w:rsid w:val="007E63E6"/>
    <w:rsid w:val="007E6FCF"/>
    <w:rsid w:val="007E7E99"/>
    <w:rsid w:val="007F033C"/>
    <w:rsid w:val="007F1F76"/>
    <w:rsid w:val="007F36E3"/>
    <w:rsid w:val="007F5804"/>
    <w:rsid w:val="007F7AE1"/>
    <w:rsid w:val="007F7BDD"/>
    <w:rsid w:val="00805445"/>
    <w:rsid w:val="008174C0"/>
    <w:rsid w:val="008175C4"/>
    <w:rsid w:val="00821F22"/>
    <w:rsid w:val="00824FF7"/>
    <w:rsid w:val="008262C8"/>
    <w:rsid w:val="00827D47"/>
    <w:rsid w:val="00830A7A"/>
    <w:rsid w:val="00842C6B"/>
    <w:rsid w:val="00842D70"/>
    <w:rsid w:val="008444C2"/>
    <w:rsid w:val="00845050"/>
    <w:rsid w:val="00850567"/>
    <w:rsid w:val="008553C0"/>
    <w:rsid w:val="00865684"/>
    <w:rsid w:val="00867A8B"/>
    <w:rsid w:val="008723CC"/>
    <w:rsid w:val="00873CAE"/>
    <w:rsid w:val="0088002F"/>
    <w:rsid w:val="008815D0"/>
    <w:rsid w:val="008826FA"/>
    <w:rsid w:val="00884BFE"/>
    <w:rsid w:val="00886134"/>
    <w:rsid w:val="00893DCD"/>
    <w:rsid w:val="0089693B"/>
    <w:rsid w:val="008973E6"/>
    <w:rsid w:val="008B0F26"/>
    <w:rsid w:val="008B2322"/>
    <w:rsid w:val="008C4DBD"/>
    <w:rsid w:val="008C7E2F"/>
    <w:rsid w:val="008D11F1"/>
    <w:rsid w:val="008D17DF"/>
    <w:rsid w:val="008D3FB1"/>
    <w:rsid w:val="008D657C"/>
    <w:rsid w:val="008F4FC6"/>
    <w:rsid w:val="008F5362"/>
    <w:rsid w:val="008F7938"/>
    <w:rsid w:val="00900D69"/>
    <w:rsid w:val="00902A2A"/>
    <w:rsid w:val="00903CE2"/>
    <w:rsid w:val="0090532B"/>
    <w:rsid w:val="00925A2C"/>
    <w:rsid w:val="00931544"/>
    <w:rsid w:val="00934B94"/>
    <w:rsid w:val="00945C78"/>
    <w:rsid w:val="00946254"/>
    <w:rsid w:val="0094639F"/>
    <w:rsid w:val="00947776"/>
    <w:rsid w:val="0095074C"/>
    <w:rsid w:val="00960753"/>
    <w:rsid w:val="00960B0C"/>
    <w:rsid w:val="00964A6E"/>
    <w:rsid w:val="00974BA8"/>
    <w:rsid w:val="00975E5E"/>
    <w:rsid w:val="009760EF"/>
    <w:rsid w:val="009A6F8E"/>
    <w:rsid w:val="009C0860"/>
    <w:rsid w:val="009C6A06"/>
    <w:rsid w:val="009D3B5F"/>
    <w:rsid w:val="009D6FB1"/>
    <w:rsid w:val="009E0432"/>
    <w:rsid w:val="009E10AA"/>
    <w:rsid w:val="009E20D0"/>
    <w:rsid w:val="009E4452"/>
    <w:rsid w:val="009E5322"/>
    <w:rsid w:val="009F1ADC"/>
    <w:rsid w:val="009F2740"/>
    <w:rsid w:val="009F432A"/>
    <w:rsid w:val="009F5AA1"/>
    <w:rsid w:val="009F742B"/>
    <w:rsid w:val="00A0144A"/>
    <w:rsid w:val="00A06AFF"/>
    <w:rsid w:val="00A160D7"/>
    <w:rsid w:val="00A21262"/>
    <w:rsid w:val="00A2331D"/>
    <w:rsid w:val="00A23BD0"/>
    <w:rsid w:val="00A266C9"/>
    <w:rsid w:val="00A35010"/>
    <w:rsid w:val="00A35C47"/>
    <w:rsid w:val="00A440C1"/>
    <w:rsid w:val="00A533B2"/>
    <w:rsid w:val="00A5399E"/>
    <w:rsid w:val="00A630DE"/>
    <w:rsid w:val="00A64FA5"/>
    <w:rsid w:val="00A657D8"/>
    <w:rsid w:val="00A7719A"/>
    <w:rsid w:val="00A83512"/>
    <w:rsid w:val="00A837BF"/>
    <w:rsid w:val="00A8574E"/>
    <w:rsid w:val="00A90575"/>
    <w:rsid w:val="00A950E2"/>
    <w:rsid w:val="00A96721"/>
    <w:rsid w:val="00AA117E"/>
    <w:rsid w:val="00AB03E9"/>
    <w:rsid w:val="00AB5E7F"/>
    <w:rsid w:val="00AC4654"/>
    <w:rsid w:val="00AD5A5A"/>
    <w:rsid w:val="00AE1E4C"/>
    <w:rsid w:val="00AE5E3B"/>
    <w:rsid w:val="00AF22DF"/>
    <w:rsid w:val="00AF2334"/>
    <w:rsid w:val="00AF478D"/>
    <w:rsid w:val="00B00BCB"/>
    <w:rsid w:val="00B0594E"/>
    <w:rsid w:val="00B239A9"/>
    <w:rsid w:val="00B3142F"/>
    <w:rsid w:val="00B353F3"/>
    <w:rsid w:val="00B42A55"/>
    <w:rsid w:val="00B533FF"/>
    <w:rsid w:val="00B54C24"/>
    <w:rsid w:val="00B55EA3"/>
    <w:rsid w:val="00B6009A"/>
    <w:rsid w:val="00B82711"/>
    <w:rsid w:val="00B8610E"/>
    <w:rsid w:val="00B91ED8"/>
    <w:rsid w:val="00B92B9A"/>
    <w:rsid w:val="00B97FF6"/>
    <w:rsid w:val="00BA7C78"/>
    <w:rsid w:val="00BB45E9"/>
    <w:rsid w:val="00BB5FF2"/>
    <w:rsid w:val="00BD0255"/>
    <w:rsid w:val="00BD3995"/>
    <w:rsid w:val="00BD53E9"/>
    <w:rsid w:val="00BE3A5F"/>
    <w:rsid w:val="00BE4C55"/>
    <w:rsid w:val="00BF5E5B"/>
    <w:rsid w:val="00BF6520"/>
    <w:rsid w:val="00C04C3F"/>
    <w:rsid w:val="00C1485B"/>
    <w:rsid w:val="00C31B1B"/>
    <w:rsid w:val="00C31B52"/>
    <w:rsid w:val="00C32770"/>
    <w:rsid w:val="00C35C2F"/>
    <w:rsid w:val="00C51B88"/>
    <w:rsid w:val="00C54F05"/>
    <w:rsid w:val="00C5747B"/>
    <w:rsid w:val="00C57D70"/>
    <w:rsid w:val="00C62EC9"/>
    <w:rsid w:val="00C64589"/>
    <w:rsid w:val="00C64D15"/>
    <w:rsid w:val="00C77286"/>
    <w:rsid w:val="00C840D5"/>
    <w:rsid w:val="00C84120"/>
    <w:rsid w:val="00C90372"/>
    <w:rsid w:val="00C92C30"/>
    <w:rsid w:val="00C9362F"/>
    <w:rsid w:val="00C97072"/>
    <w:rsid w:val="00C977FD"/>
    <w:rsid w:val="00CA3F0B"/>
    <w:rsid w:val="00CA63EE"/>
    <w:rsid w:val="00CB20EF"/>
    <w:rsid w:val="00CB3492"/>
    <w:rsid w:val="00CB54E9"/>
    <w:rsid w:val="00CC1CF7"/>
    <w:rsid w:val="00CC2838"/>
    <w:rsid w:val="00CD0736"/>
    <w:rsid w:val="00CF06D6"/>
    <w:rsid w:val="00CF20F4"/>
    <w:rsid w:val="00CF6121"/>
    <w:rsid w:val="00D04D59"/>
    <w:rsid w:val="00D07996"/>
    <w:rsid w:val="00D1698B"/>
    <w:rsid w:val="00D209D0"/>
    <w:rsid w:val="00D41C57"/>
    <w:rsid w:val="00D500EC"/>
    <w:rsid w:val="00D553BD"/>
    <w:rsid w:val="00D63E9C"/>
    <w:rsid w:val="00D6540E"/>
    <w:rsid w:val="00D66B6C"/>
    <w:rsid w:val="00D773EB"/>
    <w:rsid w:val="00D777BC"/>
    <w:rsid w:val="00D837FF"/>
    <w:rsid w:val="00D8571C"/>
    <w:rsid w:val="00D95540"/>
    <w:rsid w:val="00DA25FB"/>
    <w:rsid w:val="00DA3142"/>
    <w:rsid w:val="00DA566C"/>
    <w:rsid w:val="00DA74C4"/>
    <w:rsid w:val="00DB28A2"/>
    <w:rsid w:val="00DC0129"/>
    <w:rsid w:val="00DC1356"/>
    <w:rsid w:val="00DC72A2"/>
    <w:rsid w:val="00DD2DE2"/>
    <w:rsid w:val="00DD32B4"/>
    <w:rsid w:val="00DD7BDD"/>
    <w:rsid w:val="00DE456B"/>
    <w:rsid w:val="00DF4761"/>
    <w:rsid w:val="00DF5B5B"/>
    <w:rsid w:val="00DF6621"/>
    <w:rsid w:val="00E01893"/>
    <w:rsid w:val="00E21960"/>
    <w:rsid w:val="00E25C05"/>
    <w:rsid w:val="00E31A88"/>
    <w:rsid w:val="00E3558F"/>
    <w:rsid w:val="00E40BE9"/>
    <w:rsid w:val="00E4512D"/>
    <w:rsid w:val="00E5015D"/>
    <w:rsid w:val="00E50427"/>
    <w:rsid w:val="00E6558C"/>
    <w:rsid w:val="00E74DBB"/>
    <w:rsid w:val="00E77688"/>
    <w:rsid w:val="00E81169"/>
    <w:rsid w:val="00E81684"/>
    <w:rsid w:val="00E872D5"/>
    <w:rsid w:val="00E92394"/>
    <w:rsid w:val="00E95DF7"/>
    <w:rsid w:val="00EA1DFE"/>
    <w:rsid w:val="00EA3446"/>
    <w:rsid w:val="00EA7042"/>
    <w:rsid w:val="00EB0EB0"/>
    <w:rsid w:val="00EB75B9"/>
    <w:rsid w:val="00EB7CB5"/>
    <w:rsid w:val="00EB7E31"/>
    <w:rsid w:val="00EC1BE5"/>
    <w:rsid w:val="00EC67D8"/>
    <w:rsid w:val="00EC68AA"/>
    <w:rsid w:val="00ED1EAA"/>
    <w:rsid w:val="00ED3BAD"/>
    <w:rsid w:val="00EE03AC"/>
    <w:rsid w:val="00EE69BC"/>
    <w:rsid w:val="00EF0A75"/>
    <w:rsid w:val="00EF29A0"/>
    <w:rsid w:val="00EF6189"/>
    <w:rsid w:val="00F025D2"/>
    <w:rsid w:val="00F0636F"/>
    <w:rsid w:val="00F135CD"/>
    <w:rsid w:val="00F158B7"/>
    <w:rsid w:val="00F27B11"/>
    <w:rsid w:val="00F31617"/>
    <w:rsid w:val="00F36EFE"/>
    <w:rsid w:val="00F4477D"/>
    <w:rsid w:val="00F47B0D"/>
    <w:rsid w:val="00F53F4F"/>
    <w:rsid w:val="00F5544E"/>
    <w:rsid w:val="00F6123F"/>
    <w:rsid w:val="00F66DF2"/>
    <w:rsid w:val="00F737B0"/>
    <w:rsid w:val="00F765EA"/>
    <w:rsid w:val="00F80FCC"/>
    <w:rsid w:val="00F81178"/>
    <w:rsid w:val="00F817B8"/>
    <w:rsid w:val="00F87C40"/>
    <w:rsid w:val="00F9232F"/>
    <w:rsid w:val="00F95943"/>
    <w:rsid w:val="00FA5816"/>
    <w:rsid w:val="00FB227D"/>
    <w:rsid w:val="00FB33D1"/>
    <w:rsid w:val="00FB6513"/>
    <w:rsid w:val="00FC25D0"/>
    <w:rsid w:val="00FC7F16"/>
    <w:rsid w:val="00FD272F"/>
    <w:rsid w:val="00FD43AE"/>
    <w:rsid w:val="00FD6F94"/>
    <w:rsid w:val="00FF65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F6A"/>
    <w:rPr>
      <w:sz w:val="24"/>
      <w:szCs w:val="24"/>
    </w:rPr>
  </w:style>
  <w:style w:type="paragraph" w:styleId="Titre1">
    <w:name w:val="heading 1"/>
    <w:basedOn w:val="Normal"/>
    <w:next w:val="Normal"/>
    <w:qFormat/>
    <w:rsid w:val="001A6F6A"/>
    <w:pPr>
      <w:keepNext/>
      <w:outlineLvl w:val="0"/>
    </w:pPr>
    <w:rPr>
      <w:b/>
      <w:bCs/>
      <w:color w:val="000080"/>
    </w:rPr>
  </w:style>
  <w:style w:type="paragraph" w:styleId="Titre2">
    <w:name w:val="heading 2"/>
    <w:basedOn w:val="Normal"/>
    <w:next w:val="Normal"/>
    <w:qFormat/>
    <w:rsid w:val="001A6F6A"/>
    <w:pPr>
      <w:keepNext/>
      <w:jc w:val="both"/>
      <w:outlineLvl w:val="1"/>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 2"/>
    <w:rsid w:val="001A6F6A"/>
    <w:pPr>
      <w:widowControl w:val="0"/>
      <w:autoSpaceDE w:val="0"/>
      <w:autoSpaceDN w:val="0"/>
      <w:adjustRightInd w:val="0"/>
    </w:pPr>
    <w:rPr>
      <w:rFonts w:ascii="Garamond" w:hAnsi="Garamond"/>
      <w:sz w:val="24"/>
      <w:szCs w:val="24"/>
    </w:rPr>
  </w:style>
  <w:style w:type="paragraph" w:customStyle="1" w:styleId="Style1">
    <w:name w:val="Style 1"/>
    <w:rsid w:val="001A6F6A"/>
    <w:pPr>
      <w:widowControl w:val="0"/>
      <w:autoSpaceDE w:val="0"/>
      <w:autoSpaceDN w:val="0"/>
      <w:adjustRightInd w:val="0"/>
    </w:pPr>
  </w:style>
  <w:style w:type="character" w:customStyle="1" w:styleId="CharacterStyle1">
    <w:name w:val="Character Style 1"/>
    <w:rsid w:val="001A6F6A"/>
    <w:rPr>
      <w:rFonts w:ascii="Garamond" w:hAnsi="Garamond" w:cs="Garamond"/>
      <w:sz w:val="24"/>
      <w:szCs w:val="24"/>
    </w:rPr>
  </w:style>
  <w:style w:type="paragraph" w:styleId="En-tte">
    <w:name w:val="header"/>
    <w:basedOn w:val="Normal"/>
    <w:semiHidden/>
    <w:rsid w:val="001A6F6A"/>
    <w:pPr>
      <w:tabs>
        <w:tab w:val="center" w:pos="4536"/>
        <w:tab w:val="right" w:pos="9072"/>
      </w:tabs>
    </w:pPr>
  </w:style>
  <w:style w:type="character" w:styleId="Numrodepage">
    <w:name w:val="page number"/>
    <w:basedOn w:val="Policepardfaut"/>
    <w:semiHidden/>
    <w:rsid w:val="001A6F6A"/>
  </w:style>
  <w:style w:type="paragraph" w:customStyle="1" w:styleId="desc">
    <w:name w:val="desc"/>
    <w:basedOn w:val="Normal"/>
    <w:rsid w:val="001A6F6A"/>
    <w:pPr>
      <w:spacing w:before="100" w:beforeAutospacing="1" w:after="100" w:afterAutospacing="1" w:line="225" w:lineRule="atLeast"/>
    </w:pPr>
    <w:rPr>
      <w:rFonts w:ascii="Verdana" w:hAnsi="Verdana"/>
      <w:color w:val="222222"/>
      <w:sz w:val="17"/>
      <w:szCs w:val="17"/>
    </w:rPr>
  </w:style>
  <w:style w:type="character" w:styleId="lev">
    <w:name w:val="Strong"/>
    <w:basedOn w:val="Policepardfaut"/>
    <w:qFormat/>
    <w:rsid w:val="001A6F6A"/>
    <w:rPr>
      <w:b/>
      <w:bCs/>
    </w:rPr>
  </w:style>
  <w:style w:type="character" w:styleId="Lienhypertexte">
    <w:name w:val="Hyperlink"/>
    <w:basedOn w:val="Policepardfaut"/>
    <w:semiHidden/>
    <w:rsid w:val="001A6F6A"/>
    <w:rPr>
      <w:color w:val="0000FF"/>
      <w:u w:val="single"/>
    </w:rPr>
  </w:style>
  <w:style w:type="character" w:styleId="Lienhypertextesuivivisit">
    <w:name w:val="FollowedHyperlink"/>
    <w:basedOn w:val="Policepardfaut"/>
    <w:semiHidden/>
    <w:rsid w:val="001A6F6A"/>
    <w:rPr>
      <w:color w:val="800080"/>
      <w:u w:val="single"/>
    </w:rPr>
  </w:style>
  <w:style w:type="paragraph" w:styleId="Pieddepage">
    <w:name w:val="footer"/>
    <w:basedOn w:val="Normal"/>
    <w:semiHidden/>
    <w:rsid w:val="001A6F6A"/>
    <w:pPr>
      <w:tabs>
        <w:tab w:val="center" w:pos="4536"/>
        <w:tab w:val="right" w:pos="9072"/>
      </w:tabs>
    </w:pPr>
  </w:style>
  <w:style w:type="paragraph" w:styleId="Retraitcorpsdetexte">
    <w:name w:val="Body Text Indent"/>
    <w:basedOn w:val="Normal"/>
    <w:semiHidden/>
    <w:rsid w:val="001A6F6A"/>
    <w:pPr>
      <w:tabs>
        <w:tab w:val="num" w:pos="360"/>
      </w:tabs>
      <w:ind w:left="360"/>
    </w:pPr>
    <w:rPr>
      <w:kern w:val="16"/>
    </w:rPr>
  </w:style>
  <w:style w:type="paragraph" w:styleId="Corpsdetexte">
    <w:name w:val="Body Text"/>
    <w:basedOn w:val="Normal"/>
    <w:semiHidden/>
    <w:rsid w:val="001A6F6A"/>
    <w:pPr>
      <w:jc w:val="both"/>
    </w:pPr>
    <w:rPr>
      <w:kern w:val="16"/>
    </w:rPr>
  </w:style>
  <w:style w:type="paragraph" w:styleId="NormalWeb">
    <w:name w:val="Normal (Web)"/>
    <w:basedOn w:val="Normal"/>
    <w:uiPriority w:val="99"/>
    <w:unhideWhenUsed/>
    <w:rsid w:val="00501E93"/>
    <w:pPr>
      <w:spacing w:before="100" w:beforeAutospacing="1" w:after="100" w:afterAutospacing="1"/>
    </w:pPr>
  </w:style>
  <w:style w:type="character" w:customStyle="1" w:styleId="citecrochet1">
    <w:name w:val="cite_crochet1"/>
    <w:basedOn w:val="Policepardfaut"/>
    <w:rsid w:val="007C702F"/>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926307650">
      <w:bodyDiv w:val="1"/>
      <w:marLeft w:val="0"/>
      <w:marRight w:val="0"/>
      <w:marTop w:val="0"/>
      <w:marBottom w:val="0"/>
      <w:divBdr>
        <w:top w:val="none" w:sz="0" w:space="0" w:color="auto"/>
        <w:left w:val="none" w:sz="0" w:space="0" w:color="auto"/>
        <w:bottom w:val="none" w:sz="0" w:space="0" w:color="auto"/>
        <w:right w:val="none" w:sz="0" w:space="0" w:color="auto"/>
      </w:divBdr>
      <w:divsChild>
        <w:div w:id="1042822156">
          <w:marLeft w:val="0"/>
          <w:marRight w:val="0"/>
          <w:marTop w:val="0"/>
          <w:marBottom w:val="0"/>
          <w:divBdr>
            <w:top w:val="none" w:sz="0" w:space="0" w:color="auto"/>
            <w:left w:val="none" w:sz="0" w:space="0" w:color="auto"/>
            <w:bottom w:val="none" w:sz="0" w:space="0" w:color="auto"/>
            <w:right w:val="none" w:sz="0" w:space="0" w:color="auto"/>
          </w:divBdr>
          <w:divsChild>
            <w:div w:id="1034498210">
              <w:marLeft w:val="0"/>
              <w:marRight w:val="0"/>
              <w:marTop w:val="0"/>
              <w:marBottom w:val="0"/>
              <w:divBdr>
                <w:top w:val="none" w:sz="0" w:space="0" w:color="auto"/>
                <w:left w:val="none" w:sz="0" w:space="0" w:color="auto"/>
                <w:bottom w:val="none" w:sz="0" w:space="0" w:color="auto"/>
                <w:right w:val="none" w:sz="0" w:space="0" w:color="auto"/>
              </w:divBdr>
              <w:divsChild>
                <w:div w:id="10893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7554">
      <w:bodyDiv w:val="1"/>
      <w:marLeft w:val="0"/>
      <w:marRight w:val="0"/>
      <w:marTop w:val="0"/>
      <w:marBottom w:val="0"/>
      <w:divBdr>
        <w:top w:val="none" w:sz="0" w:space="0" w:color="auto"/>
        <w:left w:val="none" w:sz="0" w:space="0" w:color="auto"/>
        <w:bottom w:val="none" w:sz="0" w:space="0" w:color="auto"/>
        <w:right w:val="none" w:sz="0" w:space="0" w:color="auto"/>
      </w:divBdr>
      <w:divsChild>
        <w:div w:id="338508897">
          <w:marLeft w:val="0"/>
          <w:marRight w:val="0"/>
          <w:marTop w:val="0"/>
          <w:marBottom w:val="0"/>
          <w:divBdr>
            <w:top w:val="none" w:sz="0" w:space="0" w:color="auto"/>
            <w:left w:val="none" w:sz="0" w:space="0" w:color="auto"/>
            <w:bottom w:val="none" w:sz="0" w:space="0" w:color="auto"/>
            <w:right w:val="none" w:sz="0" w:space="0" w:color="auto"/>
          </w:divBdr>
          <w:divsChild>
            <w:div w:id="1392000822">
              <w:marLeft w:val="0"/>
              <w:marRight w:val="0"/>
              <w:marTop w:val="0"/>
              <w:marBottom w:val="0"/>
              <w:divBdr>
                <w:top w:val="none" w:sz="0" w:space="0" w:color="auto"/>
                <w:left w:val="none" w:sz="0" w:space="0" w:color="auto"/>
                <w:bottom w:val="none" w:sz="0" w:space="0" w:color="auto"/>
                <w:right w:val="none" w:sz="0" w:space="0" w:color="auto"/>
              </w:divBdr>
              <w:divsChild>
                <w:div w:id="970671585">
                  <w:marLeft w:val="0"/>
                  <w:marRight w:val="0"/>
                  <w:marTop w:val="0"/>
                  <w:marBottom w:val="0"/>
                  <w:divBdr>
                    <w:top w:val="none" w:sz="0" w:space="0" w:color="auto"/>
                    <w:left w:val="none" w:sz="0" w:space="0" w:color="auto"/>
                    <w:bottom w:val="none" w:sz="0" w:space="0" w:color="auto"/>
                    <w:right w:val="none" w:sz="0" w:space="0" w:color="auto"/>
                  </w:divBdr>
                  <w:divsChild>
                    <w:div w:id="1422141414">
                      <w:marLeft w:val="0"/>
                      <w:marRight w:val="0"/>
                      <w:marTop w:val="0"/>
                      <w:marBottom w:val="0"/>
                      <w:divBdr>
                        <w:top w:val="none" w:sz="0" w:space="0" w:color="auto"/>
                        <w:left w:val="none" w:sz="0" w:space="0" w:color="auto"/>
                        <w:bottom w:val="none" w:sz="0" w:space="0" w:color="auto"/>
                        <w:right w:val="none" w:sz="0" w:space="0" w:color="auto"/>
                      </w:divBdr>
                      <w:divsChild>
                        <w:div w:id="4660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Nouvelles d'Europe - n° 26 – Octobre  2008 – Semaine 1</vt:lpstr>
    </vt:vector>
  </TitlesOfParts>
  <Company>f</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Nouvelles d'Europe - n° 26 – Octobre  2008 – Semaine 1</dc:title>
  <dc:creator>f</dc:creator>
  <cp:lastModifiedBy>perso</cp:lastModifiedBy>
  <cp:revision>4</cp:revision>
  <cp:lastPrinted>2012-11-14T10:54:00Z</cp:lastPrinted>
  <dcterms:created xsi:type="dcterms:W3CDTF">2012-11-14T17:14:00Z</dcterms:created>
  <dcterms:modified xsi:type="dcterms:W3CDTF">2012-11-24T12:16:00Z</dcterms:modified>
</cp:coreProperties>
</file>